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04D06">
      <w:pPr>
        <w:rPr>
          <w:rFonts w:hint="eastAsia"/>
          <w:lang w:val="en-US" w:eastAsia="zh-CN"/>
        </w:rPr>
      </w:pPr>
      <w:r>
        <w:rPr>
          <w:rFonts w:hint="eastAsia"/>
          <w:lang w:val="en-US" w:eastAsia="zh-CN"/>
        </w:rPr>
        <w:t xml:space="preserve">              </w:t>
      </w:r>
    </w:p>
    <w:p w14:paraId="667D903F">
      <w:pPr>
        <w:jc w:val="center"/>
        <w:rPr>
          <w:rFonts w:hint="eastAsia" w:eastAsiaTheme="minorEastAsia"/>
          <w:lang w:eastAsia="zh-CN"/>
        </w:rPr>
      </w:pPr>
    </w:p>
    <w:p w14:paraId="68FCDB29">
      <w:pPr>
        <w:jc w:val="center"/>
        <w:rPr>
          <w:rFonts w:hint="eastAsia" w:eastAsiaTheme="minorEastAsia"/>
          <w:lang w:eastAsia="zh-CN"/>
        </w:rPr>
      </w:pPr>
      <w:r>
        <w:rPr>
          <w:rFonts w:hint="eastAsia" w:eastAsiaTheme="minorEastAsia"/>
          <w:lang w:eastAsia="zh-CN"/>
        </w:rPr>
        <w:drawing>
          <wp:inline distT="0" distB="0" distL="114300" distR="114300">
            <wp:extent cx="2827020" cy="5937885"/>
            <wp:effectExtent l="0" t="0" r="11430" b="5715"/>
            <wp:docPr id="1" name="图片 1" descr="微信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1"/>
                    <pic:cNvPicPr>
                      <a:picLocks noChangeAspect="1"/>
                    </pic:cNvPicPr>
                  </pic:nvPicPr>
                  <pic:blipFill>
                    <a:blip r:embed="rId4"/>
                    <a:stretch>
                      <a:fillRect/>
                    </a:stretch>
                  </pic:blipFill>
                  <pic:spPr>
                    <a:xfrm>
                      <a:off x="0" y="0"/>
                      <a:ext cx="2827020" cy="5937885"/>
                    </a:xfrm>
                    <a:prstGeom prst="rect">
                      <a:avLst/>
                    </a:prstGeom>
                  </pic:spPr>
                </pic:pic>
              </a:graphicData>
            </a:graphic>
          </wp:inline>
        </w:drawing>
      </w:r>
    </w:p>
    <w:p w14:paraId="6DEDD26E">
      <w:pPr>
        <w:rPr>
          <w:rFonts w:hint="eastAsia" w:eastAsiaTheme="minorEastAsia"/>
          <w:lang w:eastAsia="zh-CN"/>
        </w:rPr>
      </w:pPr>
    </w:p>
    <w:p w14:paraId="5510734F">
      <w:pPr>
        <w:rPr>
          <w:rFonts w:hint="eastAsia" w:eastAsiaTheme="minorEastAsia"/>
          <w:lang w:eastAsia="zh-CN"/>
        </w:rPr>
      </w:pPr>
    </w:p>
    <w:p w14:paraId="5BFEBCF1">
      <w:pPr>
        <w:rPr>
          <w:rFonts w:hint="eastAsia" w:eastAsiaTheme="minorEastAsia"/>
          <w:lang w:eastAsia="zh-CN"/>
        </w:rPr>
      </w:pPr>
    </w:p>
    <w:p w14:paraId="08336FC8">
      <w:pPr>
        <w:rPr>
          <w:rFonts w:hint="eastAsia"/>
          <w:b/>
          <w:bCs/>
          <w:sz w:val="32"/>
          <w:szCs w:val="32"/>
          <w:lang w:val="en-US" w:eastAsia="zh-CN"/>
        </w:rPr>
      </w:pPr>
      <w:r>
        <w:rPr>
          <w:rFonts w:hint="eastAsia"/>
          <w:b/>
          <w:bCs/>
          <w:sz w:val="32"/>
          <w:szCs w:val="32"/>
          <w:lang w:val="en-US" w:eastAsia="zh-CN"/>
        </w:rPr>
        <w:br w:type="page"/>
      </w:r>
    </w:p>
    <w:p w14:paraId="13F3EF93">
      <w:pPr>
        <w:jc w:val="center"/>
        <w:rPr>
          <w:rFonts w:hint="eastAsia"/>
          <w:b/>
          <w:bCs/>
          <w:sz w:val="32"/>
          <w:szCs w:val="32"/>
          <w:lang w:val="en-US" w:eastAsia="zh-CN"/>
        </w:rPr>
      </w:pPr>
      <w:r>
        <w:rPr>
          <w:rFonts w:hint="eastAsia"/>
          <w:b/>
          <w:bCs/>
          <w:sz w:val="32"/>
          <w:szCs w:val="32"/>
          <w:lang w:val="en-US" w:eastAsia="zh-CN"/>
        </w:rPr>
        <w:t>常德非遗等你来</w:t>
      </w:r>
    </w:p>
    <w:p w14:paraId="22AADA54">
      <w:pPr>
        <w:jc w:val="center"/>
        <w:rPr>
          <w:rFonts w:hint="eastAsia"/>
          <w:sz w:val="28"/>
          <w:szCs w:val="28"/>
          <w:lang w:val="en-US" w:eastAsia="zh-CN"/>
        </w:rPr>
      </w:pPr>
      <w:r>
        <w:rPr>
          <w:rFonts w:hint="eastAsia"/>
          <w:b/>
          <w:bCs/>
          <w:sz w:val="32"/>
          <w:szCs w:val="32"/>
          <w:lang w:val="en-US" w:eastAsia="zh-CN"/>
        </w:rPr>
        <w:t>——河街非遗活动月 传统技艺邂逅春意人间</w:t>
      </w:r>
    </w:p>
    <w:p w14:paraId="107296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3EBBAA2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“我把你比织女，不差毫分呐……”3月11日，常德河街鸳鸯走马楼戏台上极具地方特色的花鼓戏表演与现场观众的掌声交织成一片，成为常德河街非物</w:t>
      </w:r>
      <w:bookmarkStart w:id="0" w:name="_GoBack"/>
      <w:bookmarkEnd w:id="0"/>
      <w:r>
        <w:rPr>
          <w:rFonts w:hint="eastAsia"/>
          <w:sz w:val="28"/>
          <w:szCs w:val="28"/>
          <w:lang w:val="en-US" w:eastAsia="zh-CN"/>
        </w:rPr>
        <w:t>质文化遗产月中动人的交响曲。这场持续整个3月的非遗盛宴，让常德河街化作流动的文化长廊。</w:t>
      </w:r>
    </w:p>
    <w:p w14:paraId="71E466E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当天，在鸳鸯走马楼，马来西亚游客陈先生看完常德丝弦《常德是个好地方》演出后称赞道：“非常棒！正如歌词中所唱，这里的地方小吃和民俗文化都很有特点，常德的确是个好地方。”</w:t>
      </w:r>
    </w:p>
    <w:p w14:paraId="01E5129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常德歌舞剧院演员王娟，学习传唱常德丝弦14年，几乎每周都会在鸳鸯走马楼演出。“表演结束后，时常会有小朋友或外国游客在后台等待，向我们学习丝弦唱腔。”她说，常德丝弦传唱的是常德的故事和文化，而常德河街就是最好的展示窗口。</w:t>
      </w:r>
    </w:p>
    <w:p w14:paraId="6F20E63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穿紫河畔凿刀声起，木屑纷飞间，潘能辉正在为古木赋予生命，将它化作腾空骏马。“传统木雕在常德河街有了新舞台。”这位非遗传承人抹去额角木屑笑着说。他的作品不仅吸引本地藏家，更是走出国门销往马来西亚、新西兰等地。</w:t>
      </w:r>
    </w:p>
    <w:p w14:paraId="509448E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近日，为庆祝《哪吒2》登顶全球影史票房前八，麻质画非遗传承人李健鹰“以手为笔，以麻为墨”，精心绘制了剧中主角哪吒、敖丙形象。其创作过程被常德日报报道后，非遗麻质画获得大量关注，预订李健鹰画作的订单排得满满当当。</w:t>
      </w:r>
    </w:p>
    <w:p w14:paraId="749A0C6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热闹的街道上，擂茶清香与常德米粉的香味交替吸引着游客。“擂王”谢元在传统工艺的基础上，在擂茶中加入花瓣、牛奶、水果等配料，更适合年轻人口味，擂茶成了常德河街里的网红饮品。</w:t>
      </w:r>
    </w:p>
    <w:p w14:paraId="4F3C795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青石板路上，非遗版图正在常德河街悄然扩张。83项非遗技艺在此聚集，仅一年便新增48项。在麻阳街，李氏锔瓷传承人李志正在店内打扫，为本月14号新店开业作准备。他表示：“锔瓷走进常德河街，让更多人了解这门传统手艺，这是我作为非遗传承人应担之责。”</w:t>
      </w:r>
    </w:p>
    <w:p w14:paraId="245E15E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这个3月，常德河街非遗技艺正以鲜活的姿态，成为城市跳动的脉搏，烹制着最具烟火气的常德味道。</w:t>
      </w:r>
    </w:p>
    <w:p w14:paraId="76236451">
      <w:pPr>
        <w:rPr>
          <w:rFonts w:hint="eastAsia"/>
          <w:sz w:val="28"/>
          <w:szCs w:val="28"/>
          <w:lang w:val="en-US" w:eastAsia="zh-CN"/>
        </w:rPr>
      </w:pPr>
      <w:r>
        <w:rPr>
          <w:rFonts w:hint="eastAsia"/>
          <w:sz w:val="28"/>
          <w:szCs w:val="28"/>
          <w:lang w:val="en-US" w:eastAsia="zh-CN"/>
        </w:rPr>
        <w:br w:type="page"/>
      </w:r>
    </w:p>
    <w:p w14:paraId="7E24EA2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01A2FE2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lang w:val="en-US" w:eastAsia="zh-CN"/>
        </w:rPr>
      </w:pPr>
      <w:r>
        <w:rPr>
          <w:rFonts w:hint="eastAsia"/>
          <w:sz w:val="28"/>
          <w:szCs w:val="28"/>
          <w:lang w:val="en-US" w:eastAsia="zh-CN"/>
        </w:rPr>
        <w:t xml:space="preserve">           </w:t>
      </w:r>
    </w:p>
    <w:p w14:paraId="1FA439E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lang w:val="en-US" w:eastAsia="zh-CN"/>
        </w:rPr>
      </w:pPr>
      <w:r>
        <w:rPr>
          <w:rFonts w:hint="eastAsia"/>
          <w:sz w:val="28"/>
          <w:szCs w:val="28"/>
          <w:lang w:val="en-US" w:eastAsia="zh-CN"/>
        </w:rPr>
        <w:t xml:space="preserve">      </w:t>
      </w:r>
      <w:r>
        <w:rPr>
          <w:rFonts w:hint="eastAsia"/>
          <w:sz w:val="28"/>
          <w:szCs w:val="28"/>
          <w:lang w:val="en-US" w:eastAsia="zh-CN"/>
        </w:rPr>
        <w:drawing>
          <wp:inline distT="0" distB="0" distL="114300" distR="114300">
            <wp:extent cx="2788285" cy="5717540"/>
            <wp:effectExtent l="0" t="0" r="12065" b="16510"/>
            <wp:docPr id="6" name="图片 6" descr="微信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2"/>
                    <pic:cNvPicPr>
                      <a:picLocks noChangeAspect="1"/>
                    </pic:cNvPicPr>
                  </pic:nvPicPr>
                  <pic:blipFill>
                    <a:blip r:embed="rId5"/>
                    <a:stretch>
                      <a:fillRect/>
                    </a:stretch>
                  </pic:blipFill>
                  <pic:spPr>
                    <a:xfrm>
                      <a:off x="0" y="0"/>
                      <a:ext cx="2788285" cy="5717540"/>
                    </a:xfrm>
                    <a:prstGeom prst="rect">
                      <a:avLst/>
                    </a:prstGeom>
                  </pic:spPr>
                </pic:pic>
              </a:graphicData>
            </a:graphic>
          </wp:inline>
        </w:drawing>
      </w:r>
    </w:p>
    <w:p w14:paraId="1E8325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8"/>
          <w:szCs w:val="28"/>
          <w:lang w:val="en-US" w:eastAsia="zh-CN"/>
        </w:rPr>
      </w:pPr>
    </w:p>
    <w:p w14:paraId="16CE7631">
      <w:pPr>
        <w:rPr>
          <w:rFonts w:hint="eastAsia" w:eastAsiaTheme="minorEastAsia"/>
          <w:lang w:eastAsia="zh-CN"/>
        </w:rPr>
      </w:pPr>
    </w:p>
    <w:p w14:paraId="01D31830">
      <w:pPr>
        <w:rPr>
          <w:rFonts w:hint="eastAsia"/>
          <w:b/>
          <w:bCs/>
          <w:sz w:val="32"/>
          <w:szCs w:val="32"/>
          <w:lang w:val="en-US" w:eastAsia="zh-CN"/>
        </w:rPr>
      </w:pPr>
      <w:r>
        <w:rPr>
          <w:rFonts w:hint="eastAsia"/>
          <w:b/>
          <w:bCs/>
          <w:sz w:val="32"/>
          <w:szCs w:val="32"/>
          <w:lang w:val="en-US" w:eastAsia="zh-CN"/>
        </w:rPr>
        <w:br w:type="page"/>
      </w:r>
    </w:p>
    <w:p w14:paraId="1467F23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b/>
          <w:bCs/>
          <w:sz w:val="32"/>
          <w:szCs w:val="32"/>
          <w:lang w:val="en-US" w:eastAsia="zh-CN"/>
        </w:rPr>
      </w:pPr>
      <w:r>
        <w:rPr>
          <w:rFonts w:hint="eastAsia"/>
          <w:b/>
          <w:bCs/>
          <w:sz w:val="32"/>
          <w:szCs w:val="32"/>
          <w:lang w:val="en-US" w:eastAsia="zh-CN"/>
        </w:rPr>
        <w:t>3万只候鸟“打卡”西洞庭湖 常德生态画卷添新景</w:t>
      </w:r>
    </w:p>
    <w:p w14:paraId="5BF2ACA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b/>
          <w:bCs/>
          <w:sz w:val="32"/>
          <w:szCs w:val="32"/>
          <w:lang w:val="en-US" w:eastAsia="zh-CN"/>
        </w:rPr>
      </w:pPr>
    </w:p>
    <w:p w14:paraId="67D55A7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初春时节，天气转暖，西洞庭湖碧波荡漾，上百只来此过冬的小天鹅，成群结队，舞动翅膀，在水面游玩嬉戏，呈现出一幅美丽的生态画卷。据统计，今年有33976只候鸟来西洞庭湖过冬。</w:t>
      </w:r>
    </w:p>
    <w:p w14:paraId="6B1BD16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洞庭湖是中国第二大淡水湖，也是长江中游最重要的调蓄湖泊和湿地，对净化环境、调节水位、维护生态发挥着重要作用。近年来，常德市高度重视西洞庭湖生态环境保护，生态环境质量持续改善。2024年，洞庭湖常德湖区水质连续4年稳定保持在Ⅲ类。</w:t>
      </w:r>
    </w:p>
    <w:p w14:paraId="54DAA48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随着生态环境质量不断改善，越来越多的候鸟选择来西洞庭湖过冬，很多珍稀水鸟也来西洞庭湖打卡。从今年的监测情况来看，湖南西洞庭湖国家级自然保护区发现了国家一级重点保护鸟类黑鹳、白鹤、东方白鹳和国家二级重点保护鸟类灰鹤、小天鹅、鸿雁、白额雁、白琵鹭的身影。其中，灰鹤、白鹤、小天鹅等珍稀水鸟监测到的数量创历史新高。</w:t>
      </w:r>
    </w:p>
    <w:p w14:paraId="0289AE6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“看着浑身洁白的小天鹅在碧绿的湖面上翩翩起舞，真是一种视觉享受。”近年来，西洞庭湖还吸引了不少观鸟爱好者前来观鸟，成为游客来常德旅游的新晋打卡点。</w:t>
      </w:r>
    </w:p>
    <w:p w14:paraId="6DE377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很难想象，2017年前，西洞庭湖遍布欧美黑杨，水质常年为Ⅳ或Ⅴ类，当时来过冬的候鸟不超过1万只。在中央环保督察组交办问题之后。常德市下定决心，开启了西洞庭湖国家级自然保护区生态保护修复工作，先后清理了西洞庭湖国家级自然保护区内12.18万亩欧美黑杨；将汉寿县8万亩珍珠养殖池转型为生态鱼塘；成功治理了87条农村黑臭水体，全市农村黑臭水体治理率达到74%；完成排污口整治问题84个；大力推动农药化肥减量工作，2024年澧水入湖断面总磷浓度对比2021年下降31.8%。</w:t>
      </w:r>
    </w:p>
    <w:p w14:paraId="3749976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久久为功，持续多年的治理，让西洞庭湖换了面貌。如今西洞庭湖鸟语花香、碧水蓝天，已成为常德生态画卷中一抹新的亮色。</w:t>
      </w:r>
    </w:p>
    <w:p w14:paraId="242A146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俯瞰沅澧大地，我们还可以看到，陶渊明笔下的桃花源将生态环境与地方文化相融合，打造成为国家“绿水青山就是金山银山”实践创新基地，实现了“生态风景”到“美丽经济”的转变；市区穿城而过的穿紫河，已蜕变成为闻名全国的美丽风光带，成为常德市城区一条流光溢彩的“金腰带”……</w:t>
      </w:r>
    </w:p>
    <w:p w14:paraId="72E5345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西洞庭湖、桃花源、穿紫河，这一幅幅美丽的生态画卷，是常德市践行习近平生态文明思想、努力绘就人与自然和谐共生的美丽常德画卷的生动实践。</w:t>
      </w:r>
    </w:p>
    <w:p w14:paraId="5F7403F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r>
        <w:rPr>
          <w:rFonts w:hint="eastAsia"/>
          <w:sz w:val="28"/>
          <w:szCs w:val="28"/>
          <w:lang w:val="en-US" w:eastAsia="zh-CN"/>
        </w:rPr>
        <w:t>近年来，常德市全力打好污染防治攻坚战，持续推进突出生态环境问题整改，生态环境质量得到明显改善。2024年，市城区PM2.5平均浓度为39.2微克/立方米，改善幅度达7.1%；重污染天数仅有1天，比2023年减少10天，PM2.5平均浓度和重污染天数为有监测数据以来历史最低、最少；全市国控断面水质优良率、县级及以上饮用水水源地水质达标率均为100%，沅澧两水干流断面水质连续5年保持在Ⅱ类及以上。</w:t>
      </w:r>
    </w:p>
    <w:p w14:paraId="34CA2A1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0705A76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62383EA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35C374E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55745C9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6F1E09F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7CF2C20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0B652FB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4D87FF3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34F175C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2CB596B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3837D3F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682C93C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1DF9ABD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5FF9E07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sz w:val="28"/>
          <w:szCs w:val="28"/>
          <w:lang w:val="en-US" w:eastAsia="zh-CN"/>
        </w:rPr>
      </w:pPr>
    </w:p>
    <w:p w14:paraId="2B28AEA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lang w:val="en-US" w:eastAsia="zh-CN"/>
        </w:rPr>
      </w:pPr>
      <w:r>
        <w:rPr>
          <w:rFonts w:hint="eastAsia"/>
          <w:sz w:val="28"/>
          <w:szCs w:val="28"/>
          <w:lang w:val="en-US" w:eastAsia="zh-CN"/>
        </w:rPr>
        <w:t xml:space="preserve">       </w:t>
      </w:r>
      <w:r>
        <w:rPr>
          <w:rFonts w:hint="eastAsia"/>
          <w:sz w:val="28"/>
          <w:szCs w:val="28"/>
          <w:lang w:val="en-US" w:eastAsia="zh-CN"/>
        </w:rPr>
        <w:drawing>
          <wp:inline distT="0" distB="0" distL="114300" distR="114300">
            <wp:extent cx="2926715" cy="6340475"/>
            <wp:effectExtent l="0" t="0" r="6985" b="3175"/>
            <wp:docPr id="10" name="图片 10" descr="微信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3"/>
                    <pic:cNvPicPr>
                      <a:picLocks noChangeAspect="1"/>
                    </pic:cNvPicPr>
                  </pic:nvPicPr>
                  <pic:blipFill>
                    <a:blip r:embed="rId6"/>
                    <a:stretch>
                      <a:fillRect/>
                    </a:stretch>
                  </pic:blipFill>
                  <pic:spPr>
                    <a:xfrm>
                      <a:off x="0" y="0"/>
                      <a:ext cx="2926715" cy="6340475"/>
                    </a:xfrm>
                    <a:prstGeom prst="rect">
                      <a:avLst/>
                    </a:prstGeom>
                  </pic:spPr>
                </pic:pic>
              </a:graphicData>
            </a:graphic>
          </wp:inline>
        </w:drawing>
      </w:r>
    </w:p>
    <w:p w14:paraId="660F7EF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lang w:val="en-US" w:eastAsia="zh-CN"/>
        </w:rPr>
      </w:pPr>
    </w:p>
    <w:p w14:paraId="2CA71A7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b/>
          <w:bCs/>
          <w:sz w:val="32"/>
          <w:szCs w:val="32"/>
          <w:lang w:val="en-US" w:eastAsia="zh-CN"/>
        </w:rPr>
      </w:pPr>
    </w:p>
    <w:p w14:paraId="7D1E57A4">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b/>
          <w:bCs/>
          <w:sz w:val="32"/>
          <w:szCs w:val="32"/>
          <w:lang w:val="en-US" w:eastAsia="zh-CN"/>
        </w:rPr>
      </w:pPr>
    </w:p>
    <w:p w14:paraId="6934AB91">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b/>
          <w:bCs/>
          <w:sz w:val="32"/>
          <w:szCs w:val="32"/>
          <w:lang w:val="en-US" w:eastAsia="zh-CN"/>
        </w:rPr>
      </w:pPr>
    </w:p>
    <w:p w14:paraId="5EDCFE77">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b/>
          <w:bCs/>
          <w:sz w:val="32"/>
          <w:szCs w:val="32"/>
          <w:lang w:val="en-US" w:eastAsia="zh-CN"/>
        </w:rPr>
      </w:pPr>
      <w:r>
        <w:rPr>
          <w:rFonts w:hint="eastAsia"/>
          <w:b/>
          <w:bCs/>
          <w:sz w:val="32"/>
          <w:szCs w:val="32"/>
          <w:lang w:val="en-US" w:eastAsia="zh-CN"/>
        </w:rPr>
        <w:t>标题</w:t>
      </w:r>
    </w:p>
    <w:p w14:paraId="7599A5C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lang w:val="en-US" w:eastAsia="zh-CN"/>
        </w:rPr>
      </w:pPr>
      <w:r>
        <w:rPr>
          <w:rFonts w:hint="eastAsia"/>
          <w:sz w:val="28"/>
          <w:szCs w:val="28"/>
          <w:lang w:val="en-US" w:eastAsia="zh-CN"/>
        </w:rPr>
        <w:t>这一年 常德更灵醒</w:t>
      </w:r>
    </w:p>
    <w:p w14:paraId="26853DD3">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b/>
          <w:bCs/>
          <w:sz w:val="32"/>
          <w:szCs w:val="32"/>
          <w:lang w:val="en-US" w:eastAsia="zh-CN"/>
        </w:rPr>
      </w:pPr>
      <w:r>
        <w:rPr>
          <w:rFonts w:hint="eastAsia"/>
          <w:b/>
          <w:bCs/>
          <w:sz w:val="32"/>
          <w:szCs w:val="32"/>
          <w:lang w:val="en-US" w:eastAsia="zh-CN"/>
        </w:rPr>
        <w:t>视频文案</w:t>
      </w:r>
    </w:p>
    <w:p w14:paraId="48508A0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sz w:val="28"/>
          <w:szCs w:val="28"/>
          <w:lang w:val="en-US" w:eastAsia="zh-CN"/>
        </w:rPr>
      </w:pPr>
      <w:r>
        <w:rPr>
          <w:rFonts w:hint="eastAsia"/>
          <w:sz w:val="28"/>
          <w:szCs w:val="28"/>
          <w:lang w:val="en-US" w:eastAsia="zh-CN"/>
        </w:rPr>
        <w:t xml:space="preserve">  2024年3月19日，一个超级彩蛋，历史的聚光灯打在常德。一年来，我们带着嘱托，乘风破浪。70亿制造和投资母基金，引爆新赛道；241个重大项目落地，工业增加值突破1500亿，研发投入上涨16.1%；“智赋万企”持续推进，常德跻身城市科技创新竞争力百强。进出口贸易增长15.1%，对非贸易飙升72.1%，牛肉粉征服非洲兄弟的胃。643亿投入，109个重大项目开工，串联起城市的过去、现在和将来。53.7万个体户，5410家“四上”企业，成就了最温暖的烟火气。280个老旧小区脱胎换骨，4678座农家旱厕，一键美颜。重污染天数1天，100%达标水质里，蕴藏着桃花源式待客之道。游客接待量增长15%，旅游总收入壮大10.9%，文旅名片点亮常德C位。这一年，常德用数字书写奋进的剧本，数字背后都包含着常德人民的拼搏与欢笑。你说，这样的常德，灵醒不灵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B07D2"/>
    <w:rsid w:val="46C47A8D"/>
    <w:rsid w:val="66BD1B12"/>
    <w:rsid w:val="677D3E27"/>
    <w:rsid w:val="69CA5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2203</Words>
  <Characters>2306</Characters>
  <Lines>0</Lines>
  <Paragraphs>0</Paragraphs>
  <TotalTime>9</TotalTime>
  <ScaleCrop>false</ScaleCrop>
  <LinksUpToDate>false</LinksUpToDate>
  <CharactersWithSpaces>2362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2026-02-25T04:45:00Z</dcterms:created>
  <dc:creator>Administrator</dc:creator>
  <cp:lastModifiedBy>子砚</cp:lastModifiedBy>
  <dcterms:modified xsi:type="dcterms:W3CDTF">2026-02-25T08:01:00Z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eyJoZGlkIjoiZTMyYjdmZDg3OTRjY2E5NjI3ZTIwNmM2N2MxOWFmOGQiLCJ1c2VySWQiOiI1NDExMjg3NzgifQ==</vt:lpwstr>
  </property>
  <property fmtid="{D5CDD505-2E9C-101B-9397-08002B2CF9AE}" pid="4" name="ICV">
    <vt:lpwstr>5DE4121ACA694348BDB26FDF779B5F45_12</vt:lpwstr>
  </property>
</Properties>
</file>